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34AD" w14:textId="5C4FED4E" w:rsidR="00511F34" w:rsidRPr="005250F8" w:rsidRDefault="00511F34" w:rsidP="00511F34">
      <w:pPr>
        <w:widowControl w:val="0"/>
        <w:spacing w:line="283" w:lineRule="auto"/>
        <w:rPr>
          <w:rFonts w:asciiTheme="minorHAnsi" w:hAnsiTheme="minorHAnsi"/>
          <w:color w:val="auto"/>
          <w:sz w:val="42"/>
          <w:szCs w:val="42"/>
          <w14:ligatures w14:val="none"/>
        </w:rPr>
      </w:pPr>
      <w:r w:rsidRPr="005250F8">
        <w:rPr>
          <w:rFonts w:asciiTheme="minorHAnsi" w:hAnsiTheme="minorHAnsi"/>
          <w:color w:val="auto"/>
          <w:sz w:val="42"/>
          <w:szCs w:val="42"/>
          <w14:ligatures w14:val="none"/>
        </w:rPr>
        <w:t>Summary of Approach TSM Survey 202</w:t>
      </w:r>
      <w:r w:rsidR="006C3C7A">
        <w:rPr>
          <w:rFonts w:asciiTheme="minorHAnsi" w:hAnsiTheme="minorHAnsi"/>
          <w:color w:val="auto"/>
          <w:sz w:val="42"/>
          <w:szCs w:val="42"/>
          <w14:ligatures w14:val="none"/>
        </w:rPr>
        <w:t>4</w:t>
      </w:r>
      <w:r w:rsidRPr="005250F8">
        <w:rPr>
          <w:rFonts w:asciiTheme="minorHAnsi" w:hAnsiTheme="minorHAnsi"/>
          <w:color w:val="auto"/>
          <w:sz w:val="42"/>
          <w:szCs w:val="42"/>
          <w14:ligatures w14:val="none"/>
        </w:rPr>
        <w:t>-202</w:t>
      </w:r>
      <w:r w:rsidR="006C3C7A">
        <w:rPr>
          <w:rFonts w:asciiTheme="minorHAnsi" w:hAnsiTheme="minorHAnsi"/>
          <w:color w:val="auto"/>
          <w:sz w:val="42"/>
          <w:szCs w:val="42"/>
          <w14:ligatures w14:val="none"/>
        </w:rPr>
        <w:t>5</w:t>
      </w:r>
    </w:p>
    <w:p w14:paraId="07F0A943" w14:textId="27DE55A2" w:rsidR="00511F34" w:rsidRPr="005250F8" w:rsidRDefault="004048E2" w:rsidP="00511F34">
      <w:pPr>
        <w:widowControl w:val="0"/>
        <w:spacing w:line="283" w:lineRule="auto"/>
        <w:rPr>
          <w:rFonts w:asciiTheme="minorHAnsi" w:hAnsiTheme="minorHAnsi"/>
          <w:b/>
          <w:bCs/>
          <w:color w:val="auto"/>
          <w:sz w:val="42"/>
          <w:szCs w:val="42"/>
          <w14:ligatures w14:val="none"/>
        </w:rPr>
      </w:pPr>
      <w:r>
        <w:rPr>
          <w:rFonts w:asciiTheme="minorHAnsi" w:hAnsiTheme="minorHAnsi"/>
          <w:b/>
          <w:bCs/>
          <w:color w:val="auto"/>
          <w:sz w:val="42"/>
          <w:szCs w:val="42"/>
          <w14:ligatures w14:val="none"/>
        </w:rPr>
        <w:t>Southway Housing Trust</w:t>
      </w:r>
    </w:p>
    <w:p w14:paraId="5163E3D7" w14:textId="4DAB6ED8" w:rsidR="00511F34" w:rsidRPr="00C97C89" w:rsidRDefault="00511F34" w:rsidP="00511F34">
      <w:pPr>
        <w:widowControl w:val="0"/>
        <w:spacing w:line="283" w:lineRule="auto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C97C89">
        <w:rPr>
          <w:rFonts w:asciiTheme="minorHAnsi" w:hAnsiTheme="minorHAnsi"/>
          <w:color w:val="4BAAD3"/>
          <w:sz w:val="32"/>
          <w:szCs w:val="32"/>
          <w14:ligatures w14:val="none"/>
        </w:rPr>
        <w:t>Overview</w:t>
      </w:r>
    </w:p>
    <w:p w14:paraId="24FAEF3C" w14:textId="2DC5A89D" w:rsidR="00C97C89" w:rsidRPr="00696639" w:rsidRDefault="00C97C89" w:rsidP="00C97C89">
      <w:pPr>
        <w:widowControl w:val="0"/>
        <w:spacing w:line="283" w:lineRule="auto"/>
        <w:rPr>
          <w:rFonts w:asciiTheme="minorHAnsi" w:hAnsiTheme="minorHAnsi"/>
          <w:color w:val="auto"/>
          <w14:ligatures w14:val="none"/>
        </w:rPr>
      </w:pPr>
      <w:r w:rsidRPr="00C97C89">
        <w:rPr>
          <w:rFonts w:asciiTheme="minorHAnsi" w:hAnsiTheme="minorHAnsi"/>
          <w14:ligatures w14:val="none"/>
        </w:rPr>
        <w:t xml:space="preserve">The survey was conducted by ARP Research </w:t>
      </w:r>
      <w:r w:rsidR="00961E73">
        <w:rPr>
          <w:rFonts w:asciiTheme="minorHAnsi" w:hAnsiTheme="minorHAnsi"/>
          <w14:ligatures w14:val="none"/>
        </w:rPr>
        <w:t xml:space="preserve">on a </w:t>
      </w:r>
      <w:r w:rsidR="00F733F2">
        <w:rPr>
          <w:rFonts w:asciiTheme="minorHAnsi" w:hAnsiTheme="minorHAnsi"/>
          <w14:ligatures w14:val="none"/>
        </w:rPr>
        <w:t xml:space="preserve">phased </w:t>
      </w:r>
      <w:r w:rsidR="00961E73">
        <w:rPr>
          <w:rFonts w:asciiTheme="minorHAnsi" w:hAnsiTheme="minorHAnsi"/>
          <w14:ligatures w14:val="none"/>
        </w:rPr>
        <w:t xml:space="preserve">quarterly basis </w:t>
      </w:r>
      <w:r w:rsidRPr="00696639">
        <w:rPr>
          <w:rFonts w:asciiTheme="minorHAnsi" w:hAnsiTheme="minorHAnsi"/>
          <w:color w:val="auto"/>
          <w14:ligatures w14:val="none"/>
        </w:rPr>
        <w:t xml:space="preserve">between </w:t>
      </w:r>
      <w:r w:rsidR="006C3C7A">
        <w:rPr>
          <w:rFonts w:asciiTheme="minorHAnsi" w:hAnsiTheme="minorHAnsi"/>
          <w:color w:val="auto"/>
          <w14:ligatures w14:val="none"/>
        </w:rPr>
        <w:t>25</w:t>
      </w:r>
      <w:r w:rsidRPr="00696639">
        <w:rPr>
          <w:rFonts w:asciiTheme="minorHAnsi" w:hAnsiTheme="minorHAnsi"/>
          <w:color w:val="auto"/>
          <w14:ligatures w14:val="none"/>
        </w:rPr>
        <w:t xml:space="preserve"> </w:t>
      </w:r>
      <w:r w:rsidR="00936230" w:rsidRPr="00696639">
        <w:rPr>
          <w:rFonts w:asciiTheme="minorHAnsi" w:hAnsiTheme="minorHAnsi"/>
          <w:color w:val="auto"/>
          <w14:ligatures w14:val="none"/>
        </w:rPr>
        <w:t>J</w:t>
      </w:r>
      <w:r w:rsidR="006C3C7A">
        <w:rPr>
          <w:rFonts w:asciiTheme="minorHAnsi" w:hAnsiTheme="minorHAnsi"/>
          <w:color w:val="auto"/>
          <w14:ligatures w14:val="none"/>
        </w:rPr>
        <w:t>une 2024</w:t>
      </w:r>
      <w:r w:rsidRPr="00696639">
        <w:rPr>
          <w:rFonts w:asciiTheme="minorHAnsi" w:hAnsiTheme="minorHAnsi"/>
          <w:color w:val="auto"/>
          <w14:ligatures w14:val="none"/>
        </w:rPr>
        <w:t xml:space="preserve"> </w:t>
      </w:r>
      <w:r w:rsidR="006C3C7A">
        <w:rPr>
          <w:rFonts w:asciiTheme="minorHAnsi" w:hAnsiTheme="minorHAnsi"/>
          <w:color w:val="auto"/>
          <w14:ligatures w14:val="none"/>
        </w:rPr>
        <w:t>and 27</w:t>
      </w:r>
      <w:r w:rsidRPr="00696639">
        <w:rPr>
          <w:rFonts w:asciiTheme="minorHAnsi" w:hAnsiTheme="minorHAnsi"/>
          <w:color w:val="auto"/>
          <w14:ligatures w14:val="none"/>
        </w:rPr>
        <w:t xml:space="preserve"> </w:t>
      </w:r>
      <w:r w:rsidR="00936230" w:rsidRPr="00696639">
        <w:rPr>
          <w:rFonts w:asciiTheme="minorHAnsi" w:hAnsiTheme="minorHAnsi"/>
          <w:color w:val="auto"/>
          <w14:ligatures w14:val="none"/>
        </w:rPr>
        <w:t>February</w:t>
      </w:r>
      <w:r w:rsidRPr="00696639">
        <w:rPr>
          <w:rFonts w:asciiTheme="minorHAnsi" w:hAnsiTheme="minorHAnsi"/>
          <w:color w:val="auto"/>
          <w14:ligatures w14:val="none"/>
        </w:rPr>
        <w:t xml:space="preserve"> 202</w:t>
      </w:r>
      <w:r w:rsidR="006C3C7A">
        <w:rPr>
          <w:rFonts w:asciiTheme="minorHAnsi" w:hAnsiTheme="minorHAnsi"/>
          <w:color w:val="auto"/>
          <w14:ligatures w14:val="none"/>
        </w:rPr>
        <w:t>5</w:t>
      </w:r>
      <w:r w:rsidRPr="00696639">
        <w:rPr>
          <w:rFonts w:asciiTheme="minorHAnsi" w:hAnsiTheme="minorHAnsi"/>
          <w:color w:val="auto"/>
          <w14:ligatures w14:val="none"/>
        </w:rPr>
        <w:t xml:space="preserve">. </w:t>
      </w:r>
    </w:p>
    <w:p w14:paraId="3022C62E" w14:textId="4A889721" w:rsidR="00511F34" w:rsidRPr="00C97C89" w:rsidRDefault="00511F34" w:rsidP="005250F8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C97C89">
        <w:rPr>
          <w:rFonts w:asciiTheme="minorHAnsi" w:hAnsiTheme="minorHAnsi"/>
          <w:color w:val="4BAAD3"/>
          <w:sz w:val="32"/>
          <w:szCs w:val="32"/>
          <w14:ligatures w14:val="none"/>
        </w:rPr>
        <w:t>Responses</w:t>
      </w:r>
    </w:p>
    <w:p w14:paraId="43747663" w14:textId="4405E012" w:rsidR="00C97C89" w:rsidRDefault="00C97C89" w:rsidP="00C97C89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C97C89">
        <w:rPr>
          <w:rFonts w:asciiTheme="minorHAnsi" w:hAnsiTheme="minorHAnsi"/>
          <w14:ligatures w14:val="none"/>
        </w:rPr>
        <w:t xml:space="preserve">Overall, </w:t>
      </w:r>
      <w:r w:rsidR="006C3C7A">
        <w:rPr>
          <w:rFonts w:asciiTheme="minorHAnsi" w:hAnsiTheme="minorHAnsi"/>
          <w14:ligatures w14:val="none"/>
        </w:rPr>
        <w:t>1,266</w:t>
      </w:r>
      <w:r w:rsidRPr="00C97C89">
        <w:rPr>
          <w:rFonts w:asciiTheme="minorHAnsi" w:hAnsiTheme="minorHAnsi"/>
          <w14:ligatures w14:val="none"/>
        </w:rPr>
        <w:t xml:space="preserve"> LCRA (low</w:t>
      </w:r>
      <w:r w:rsidR="00D91C69">
        <w:rPr>
          <w:rFonts w:asciiTheme="minorHAnsi" w:hAnsiTheme="minorHAnsi"/>
          <w14:ligatures w14:val="none"/>
        </w:rPr>
        <w:t>-</w:t>
      </w:r>
      <w:r w:rsidRPr="00C97C89">
        <w:rPr>
          <w:rFonts w:asciiTheme="minorHAnsi" w:hAnsiTheme="minorHAnsi"/>
          <w14:ligatures w14:val="none"/>
        </w:rPr>
        <w:t xml:space="preserve">cost rental accommodation) tenant households took part in the TSM survey, which represented </w:t>
      </w:r>
      <w:r w:rsidR="00D91C69">
        <w:rPr>
          <w:rFonts w:asciiTheme="minorHAnsi" w:hAnsiTheme="minorHAnsi"/>
          <w14:ligatures w14:val="none"/>
        </w:rPr>
        <w:t>21</w:t>
      </w:r>
      <w:r w:rsidRPr="00C97C89">
        <w:rPr>
          <w:rFonts w:asciiTheme="minorHAnsi" w:hAnsiTheme="minorHAnsi"/>
          <w14:ligatures w14:val="none"/>
        </w:rPr>
        <w:t xml:space="preserve">% of the total tenant population (error margin +/- </w:t>
      </w:r>
      <w:r w:rsidR="00D91C69">
        <w:rPr>
          <w:rFonts w:asciiTheme="minorHAnsi" w:hAnsiTheme="minorHAnsi"/>
          <w14:ligatures w14:val="none"/>
        </w:rPr>
        <w:t>2.4</w:t>
      </w:r>
      <w:r w:rsidRPr="00C97C89">
        <w:rPr>
          <w:rFonts w:asciiTheme="minorHAnsi" w:hAnsiTheme="minorHAnsi"/>
          <w14:ligatures w14:val="none"/>
        </w:rPr>
        <w:t xml:space="preserve">%). This </w:t>
      </w:r>
      <w:r w:rsidR="00D91C69">
        <w:rPr>
          <w:rFonts w:asciiTheme="minorHAnsi" w:hAnsiTheme="minorHAnsi"/>
          <w14:ligatures w14:val="none"/>
        </w:rPr>
        <w:t>exceeded</w:t>
      </w:r>
      <w:r w:rsidRPr="00C97C89">
        <w:rPr>
          <w:rFonts w:asciiTheme="minorHAnsi" w:hAnsiTheme="minorHAnsi"/>
          <w14:ligatures w14:val="none"/>
        </w:rPr>
        <w:t xml:space="preserve"> the </w:t>
      </w:r>
      <w:r w:rsidR="00D91C69">
        <w:rPr>
          <w:rFonts w:asciiTheme="minorHAnsi" w:hAnsiTheme="minorHAnsi"/>
          <w14:ligatures w14:val="none"/>
        </w:rPr>
        <w:t>applicable</w:t>
      </w:r>
      <w:r w:rsidRPr="00C97C89">
        <w:rPr>
          <w:rFonts w:asciiTheme="minorHAnsi" w:hAnsiTheme="minorHAnsi"/>
          <w14:ligatures w14:val="none"/>
        </w:rPr>
        <w:t xml:space="preserve"> TSM target error margin of +/- </w:t>
      </w:r>
      <w:r w:rsidR="00CC4DED">
        <w:rPr>
          <w:rFonts w:asciiTheme="minorHAnsi" w:hAnsiTheme="minorHAnsi"/>
          <w14:ligatures w14:val="none"/>
        </w:rPr>
        <w:t>4</w:t>
      </w:r>
      <w:r w:rsidRPr="00C97C89">
        <w:rPr>
          <w:rFonts w:asciiTheme="minorHAnsi" w:hAnsiTheme="minorHAnsi"/>
          <w14:ligatures w14:val="none"/>
        </w:rPr>
        <w:t xml:space="preserve">%. </w:t>
      </w:r>
    </w:p>
    <w:p w14:paraId="5CC47DAB" w14:textId="7B71B9F0" w:rsidR="00961E73" w:rsidRPr="00967E20" w:rsidRDefault="00961E73" w:rsidP="00961E73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967E20">
        <w:rPr>
          <w:rFonts w:asciiTheme="minorHAnsi" w:hAnsiTheme="minorHAnsi"/>
          <w14:ligatures w14:val="none"/>
        </w:rPr>
        <w:t>There were</w:t>
      </w:r>
      <w:r>
        <w:rPr>
          <w:rFonts w:asciiTheme="minorHAnsi" w:hAnsiTheme="minorHAnsi"/>
          <w14:ligatures w14:val="none"/>
        </w:rPr>
        <w:t xml:space="preserve"> 368 face-to-face interviews (29%), </w:t>
      </w:r>
      <w:r w:rsidRPr="00967E20">
        <w:rPr>
          <w:rFonts w:asciiTheme="minorHAnsi" w:hAnsiTheme="minorHAnsi"/>
          <w14:ligatures w14:val="none"/>
        </w:rPr>
        <w:t>47</w:t>
      </w:r>
      <w:r>
        <w:rPr>
          <w:rFonts w:asciiTheme="minorHAnsi" w:hAnsiTheme="minorHAnsi"/>
          <w14:ligatures w14:val="none"/>
        </w:rPr>
        <w:t>8</w:t>
      </w:r>
      <w:r w:rsidRPr="00967E20">
        <w:rPr>
          <w:rFonts w:asciiTheme="minorHAnsi" w:hAnsiTheme="minorHAnsi"/>
          <w14:ligatures w14:val="none"/>
        </w:rPr>
        <w:t xml:space="preserve"> online completions (</w:t>
      </w:r>
      <w:r>
        <w:rPr>
          <w:rFonts w:asciiTheme="minorHAnsi" w:hAnsiTheme="minorHAnsi"/>
          <w14:ligatures w14:val="none"/>
        </w:rPr>
        <w:t>38</w:t>
      </w:r>
      <w:r w:rsidRPr="00967E20">
        <w:rPr>
          <w:rFonts w:asciiTheme="minorHAnsi" w:hAnsiTheme="minorHAnsi"/>
          <w14:ligatures w14:val="none"/>
        </w:rPr>
        <w:t>%)</w:t>
      </w:r>
      <w:r>
        <w:rPr>
          <w:rFonts w:asciiTheme="minorHAnsi" w:hAnsiTheme="minorHAnsi"/>
          <w14:ligatures w14:val="none"/>
        </w:rPr>
        <w:t xml:space="preserve"> and 420 telephone interviews (33%).</w:t>
      </w:r>
    </w:p>
    <w:p w14:paraId="09A5A73B" w14:textId="04EFF629" w:rsidR="00511F34" w:rsidRPr="00C97C89" w:rsidRDefault="00511F34" w:rsidP="005250F8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C97C89">
        <w:rPr>
          <w:rFonts w:asciiTheme="minorHAnsi" w:hAnsiTheme="minorHAnsi"/>
          <w:color w:val="4BAAD3"/>
          <w:sz w:val="32"/>
          <w:szCs w:val="32"/>
          <w14:ligatures w14:val="none"/>
        </w:rPr>
        <w:t>Sampling</w:t>
      </w:r>
    </w:p>
    <w:p w14:paraId="60083375" w14:textId="274ED870" w:rsidR="001F6BC5" w:rsidRDefault="00961E73" w:rsidP="00BF6DA8">
      <w:pPr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For each quarter, Southway </w:t>
      </w:r>
      <w:r w:rsidR="003741ED">
        <w:rPr>
          <w:rFonts w:asciiTheme="minorHAnsi" w:hAnsiTheme="minorHAnsi"/>
          <w14:ligatures w14:val="none"/>
        </w:rPr>
        <w:t xml:space="preserve">staff initially conducted face to face interviews via a quota sample </w:t>
      </w:r>
      <w:r w:rsidR="001F6BC5">
        <w:rPr>
          <w:rFonts w:asciiTheme="minorHAnsi" w:hAnsiTheme="minorHAnsi"/>
          <w14:ligatures w14:val="none"/>
        </w:rPr>
        <w:t>s</w:t>
      </w:r>
      <w:r w:rsidR="003741ED">
        <w:rPr>
          <w:rFonts w:asciiTheme="minorHAnsi" w:hAnsiTheme="minorHAnsi"/>
          <w14:ligatures w14:val="none"/>
        </w:rPr>
        <w:t>elected from all households that hadn’t yet taken part in this year’s survey.</w:t>
      </w:r>
      <w:r w:rsidR="00927814">
        <w:rPr>
          <w:rFonts w:asciiTheme="minorHAnsi" w:hAnsiTheme="minorHAnsi"/>
          <w14:ligatures w14:val="none"/>
        </w:rPr>
        <w:t xml:space="preserve"> The quota categories were stock type, area, property type, age group and ethnic background. </w:t>
      </w:r>
      <w:r w:rsidR="003741ED">
        <w:rPr>
          <w:rFonts w:asciiTheme="minorHAnsi" w:hAnsiTheme="minorHAnsi"/>
          <w14:ligatures w14:val="none"/>
        </w:rPr>
        <w:t xml:space="preserve"> This was followed by </w:t>
      </w:r>
      <w:r w:rsidR="001F6BC5" w:rsidRPr="00967E20">
        <w:rPr>
          <w:rFonts w:asciiTheme="minorHAnsi" w:hAnsiTheme="minorHAnsi"/>
          <w14:ligatures w14:val="none"/>
        </w:rPr>
        <w:t>computer-generated randomly selected</w:t>
      </w:r>
      <w:r w:rsidR="001F6BC5">
        <w:rPr>
          <w:rFonts w:asciiTheme="minorHAnsi" w:hAnsiTheme="minorHAnsi"/>
          <w14:ligatures w14:val="none"/>
        </w:rPr>
        <w:t xml:space="preserve"> sample of approximately </w:t>
      </w:r>
      <w:r w:rsidR="00927814">
        <w:rPr>
          <w:rFonts w:asciiTheme="minorHAnsi" w:hAnsiTheme="minorHAnsi"/>
          <w14:ligatures w14:val="none"/>
        </w:rPr>
        <w:t>1,100</w:t>
      </w:r>
      <w:r w:rsidR="001F6BC5">
        <w:rPr>
          <w:rFonts w:asciiTheme="minorHAnsi" w:hAnsiTheme="minorHAnsi"/>
          <w14:ligatures w14:val="none"/>
        </w:rPr>
        <w:t xml:space="preserve"> households with email addresses invited to the online element, followed by a final phase with telephone interviews using</w:t>
      </w:r>
      <w:r w:rsidR="001F6BC5" w:rsidRPr="00C97C89">
        <w:rPr>
          <w:rFonts w:asciiTheme="minorHAnsi" w:hAnsiTheme="minorHAnsi"/>
          <w14:ligatures w14:val="none"/>
        </w:rPr>
        <w:t xml:space="preserve"> randomised number selection </w:t>
      </w:r>
      <w:r w:rsidR="001F6BC5">
        <w:rPr>
          <w:rFonts w:asciiTheme="minorHAnsi" w:hAnsiTheme="minorHAnsi"/>
          <w14:ligatures w14:val="none"/>
        </w:rPr>
        <w:t>completed according to a quota sample calculated to achieve a representative response for that quarter.</w:t>
      </w:r>
      <w:r w:rsidR="00927814">
        <w:rPr>
          <w:rFonts w:asciiTheme="minorHAnsi" w:hAnsiTheme="minorHAnsi"/>
          <w14:ligatures w14:val="none"/>
        </w:rPr>
        <w:t xml:space="preserve"> The quota categories for this element were stock type, area, property type, property size, length of tenancy, gender, age group and ethnic background.  </w:t>
      </w:r>
    </w:p>
    <w:p w14:paraId="36066393" w14:textId="6827EC1D" w:rsidR="001F6BC5" w:rsidRDefault="001F6BC5" w:rsidP="00BF6DA8">
      <w:pPr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The population for the online and telephone elements from which the sample was drawn each quarter was restricted to a </w:t>
      </w:r>
      <w:r w:rsidRPr="00967E20">
        <w:rPr>
          <w:rFonts w:asciiTheme="minorHAnsi" w:hAnsiTheme="minorHAnsi"/>
          <w14:ligatures w14:val="none"/>
        </w:rPr>
        <w:t>computer-generated randomly selected</w:t>
      </w:r>
      <w:r>
        <w:rPr>
          <w:rFonts w:asciiTheme="minorHAnsi" w:hAnsiTheme="minorHAnsi"/>
          <w14:ligatures w14:val="none"/>
        </w:rPr>
        <w:t xml:space="preserve"> group of approximately 1,400</w:t>
      </w:r>
      <w:r w:rsidR="00927814">
        <w:rPr>
          <w:rFonts w:asciiTheme="minorHAnsi" w:hAnsiTheme="minorHAnsi"/>
          <w14:ligatures w14:val="none"/>
        </w:rPr>
        <w:t xml:space="preserve"> -1,500</w:t>
      </w:r>
      <w:r>
        <w:rPr>
          <w:rFonts w:asciiTheme="minorHAnsi" w:hAnsiTheme="minorHAnsi"/>
          <w14:ligatures w14:val="none"/>
        </w:rPr>
        <w:t xml:space="preserve"> households (around a quarter of the full population). This excluded any household that had been part of the </w:t>
      </w:r>
      <w:r w:rsidR="00401789">
        <w:rPr>
          <w:rFonts w:asciiTheme="minorHAnsi" w:hAnsiTheme="minorHAnsi"/>
          <w14:ligatures w14:val="none"/>
        </w:rPr>
        <w:t xml:space="preserve">equivalent </w:t>
      </w:r>
      <w:r>
        <w:rPr>
          <w:rFonts w:asciiTheme="minorHAnsi" w:hAnsiTheme="minorHAnsi"/>
          <w14:ligatures w14:val="none"/>
        </w:rPr>
        <w:t xml:space="preserve">group </w:t>
      </w:r>
      <w:r w:rsidR="00401789">
        <w:rPr>
          <w:rFonts w:asciiTheme="minorHAnsi" w:hAnsiTheme="minorHAnsi"/>
          <w14:ligatures w14:val="none"/>
        </w:rPr>
        <w:t>from</w:t>
      </w:r>
      <w:r>
        <w:rPr>
          <w:rFonts w:asciiTheme="minorHAnsi" w:hAnsiTheme="minorHAnsi"/>
          <w14:ligatures w14:val="none"/>
        </w:rPr>
        <w:t xml:space="preserve"> any previous quarter, or that had already taken part in a face-to-face interview during the year.</w:t>
      </w:r>
    </w:p>
    <w:p w14:paraId="1BAF0AC5" w14:textId="3C2BF472" w:rsidR="00511F34" w:rsidRPr="00C97C89" w:rsidRDefault="00511F34" w:rsidP="00BF6DA8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C97C89">
        <w:rPr>
          <w:rFonts w:asciiTheme="minorHAnsi" w:hAnsiTheme="minorHAnsi"/>
          <w:color w:val="4BAAD3"/>
          <w:sz w:val="32"/>
          <w:szCs w:val="32"/>
          <w14:ligatures w14:val="none"/>
        </w:rPr>
        <w:t>Fieldwork</w:t>
      </w:r>
    </w:p>
    <w:p w14:paraId="181FC082" w14:textId="5E9C394A" w:rsidR="00927814" w:rsidRDefault="00927814" w:rsidP="001F6BC5">
      <w:pPr>
        <w:widowControl w:val="0"/>
        <w:spacing w:line="283" w:lineRule="auto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The target for each quarter was to achieve around 300 responses split as equally as possible between </w:t>
      </w:r>
      <w:r w:rsidR="00401789">
        <w:rPr>
          <w:rFonts w:asciiTheme="minorHAnsi" w:hAnsiTheme="minorHAnsi"/>
          <w14:ligatures w14:val="none"/>
        </w:rPr>
        <w:t>face-to-face</w:t>
      </w:r>
      <w:r w:rsidR="00F733F2">
        <w:rPr>
          <w:rFonts w:asciiTheme="minorHAnsi" w:hAnsiTheme="minorHAnsi"/>
          <w14:ligatures w14:val="none"/>
        </w:rPr>
        <w:t xml:space="preserve"> (Southway)</w:t>
      </w:r>
      <w:r>
        <w:rPr>
          <w:rFonts w:asciiTheme="minorHAnsi" w:hAnsiTheme="minorHAnsi"/>
          <w14:ligatures w14:val="none"/>
        </w:rPr>
        <w:t>, online</w:t>
      </w:r>
      <w:r w:rsidR="00F733F2">
        <w:rPr>
          <w:rFonts w:asciiTheme="minorHAnsi" w:hAnsiTheme="minorHAnsi"/>
          <w14:ligatures w14:val="none"/>
        </w:rPr>
        <w:t xml:space="preserve"> (ARP)</w:t>
      </w:r>
      <w:r>
        <w:rPr>
          <w:rFonts w:asciiTheme="minorHAnsi" w:hAnsiTheme="minorHAnsi"/>
          <w14:ligatures w14:val="none"/>
        </w:rPr>
        <w:t xml:space="preserve"> and telephone</w:t>
      </w:r>
      <w:r w:rsidR="00F733F2">
        <w:rPr>
          <w:rFonts w:asciiTheme="minorHAnsi" w:hAnsiTheme="minorHAnsi"/>
          <w14:ligatures w14:val="none"/>
        </w:rPr>
        <w:t xml:space="preserve"> (ARP)</w:t>
      </w:r>
      <w:r>
        <w:rPr>
          <w:rFonts w:asciiTheme="minorHAnsi" w:hAnsiTheme="minorHAnsi"/>
          <w14:ligatures w14:val="none"/>
        </w:rPr>
        <w:t xml:space="preserve">. However, </w:t>
      </w:r>
      <w:r w:rsidR="00F733F2">
        <w:rPr>
          <w:rFonts w:asciiTheme="minorHAnsi" w:hAnsiTheme="minorHAnsi"/>
          <w14:ligatures w14:val="none"/>
        </w:rPr>
        <w:t>during the first quarter the total number of face-to-face interviews was lower than in the subsequent three quarter</w:t>
      </w:r>
      <w:r w:rsidR="00401789">
        <w:rPr>
          <w:rFonts w:asciiTheme="minorHAnsi" w:hAnsiTheme="minorHAnsi"/>
          <w14:ligatures w14:val="none"/>
        </w:rPr>
        <w:t>s</w:t>
      </w:r>
      <w:r w:rsidR="00F733F2">
        <w:rPr>
          <w:rFonts w:asciiTheme="minorHAnsi" w:hAnsiTheme="minorHAnsi"/>
          <w14:ligatures w14:val="none"/>
        </w:rPr>
        <w:t>, with the shortfall made up by online and telephone.</w:t>
      </w:r>
    </w:p>
    <w:p w14:paraId="55882F75" w14:textId="46D94458" w:rsidR="00927814" w:rsidRDefault="001F6BC5" w:rsidP="001F6BC5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967E20">
        <w:rPr>
          <w:rFonts w:asciiTheme="minorHAnsi" w:hAnsiTheme="minorHAnsi"/>
          <w14:ligatures w14:val="none"/>
        </w:rPr>
        <w:t>The first part of each</w:t>
      </w:r>
      <w:r w:rsidR="00927814">
        <w:rPr>
          <w:rFonts w:asciiTheme="minorHAnsi" w:hAnsiTheme="minorHAnsi"/>
          <w14:ligatures w14:val="none"/>
        </w:rPr>
        <w:t xml:space="preserve"> quarterly tranche involved face to face interviews conducted by Southway staff. For the first quarter the target was 60 interviews, increased to 100 interviews for the following three quarters.</w:t>
      </w:r>
    </w:p>
    <w:p w14:paraId="7BB64C4B" w14:textId="77777777" w:rsidR="00927814" w:rsidRDefault="00927814" w:rsidP="001F6BC5">
      <w:pPr>
        <w:widowControl w:val="0"/>
        <w:spacing w:line="283" w:lineRule="auto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The second phase included an online survey invitation sent to approximately 1,100 households, followed by a text message reminder to non-respondents after a week.</w:t>
      </w:r>
    </w:p>
    <w:p w14:paraId="3C7D5510" w14:textId="21F5F4BC" w:rsidR="00927814" w:rsidRDefault="00927814" w:rsidP="001F6BC5">
      <w:pPr>
        <w:widowControl w:val="0"/>
        <w:spacing w:line="283" w:lineRule="auto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The final phase was 120 </w:t>
      </w:r>
      <w:r w:rsidR="00F733F2">
        <w:rPr>
          <w:rFonts w:asciiTheme="minorHAnsi" w:hAnsiTheme="minorHAnsi"/>
          <w14:ligatures w14:val="none"/>
        </w:rPr>
        <w:t>telephone</w:t>
      </w:r>
      <w:r>
        <w:rPr>
          <w:rFonts w:asciiTheme="minorHAnsi" w:hAnsiTheme="minorHAnsi"/>
          <w14:ligatures w14:val="none"/>
        </w:rPr>
        <w:t xml:space="preserve"> interviews in the </w:t>
      </w:r>
      <w:r w:rsidR="00F733F2">
        <w:rPr>
          <w:rFonts w:asciiTheme="minorHAnsi" w:hAnsiTheme="minorHAnsi"/>
          <w14:ligatures w14:val="none"/>
        </w:rPr>
        <w:t>first quarter, followed by 100 in each subsequent quarter.</w:t>
      </w:r>
    </w:p>
    <w:p w14:paraId="22862B9D" w14:textId="77777777" w:rsidR="00927814" w:rsidRDefault="00927814" w:rsidP="001F6BC5">
      <w:pPr>
        <w:widowControl w:val="0"/>
        <w:spacing w:line="283" w:lineRule="auto"/>
        <w:rPr>
          <w:rFonts w:asciiTheme="minorHAnsi" w:hAnsiTheme="minorHAnsi"/>
          <w14:ligatures w14:val="none"/>
        </w:rPr>
      </w:pPr>
    </w:p>
    <w:p w14:paraId="59A26375" w14:textId="4BF389A8" w:rsidR="00F733F2" w:rsidRDefault="001F6BC5" w:rsidP="001F6BC5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967E20">
        <w:rPr>
          <w:rFonts w:asciiTheme="minorHAnsi" w:hAnsiTheme="minorHAnsi"/>
          <w14:ligatures w14:val="none"/>
        </w:rPr>
        <w:lastRenderedPageBreak/>
        <w:t xml:space="preserve">This </w:t>
      </w:r>
      <w:r w:rsidR="00401789">
        <w:rPr>
          <w:rFonts w:asciiTheme="minorHAnsi" w:hAnsiTheme="minorHAnsi"/>
          <w14:ligatures w14:val="none"/>
        </w:rPr>
        <w:t xml:space="preserve">mixed </w:t>
      </w:r>
      <w:r w:rsidRPr="00967E20">
        <w:rPr>
          <w:rFonts w:asciiTheme="minorHAnsi" w:hAnsiTheme="minorHAnsi"/>
          <w14:ligatures w14:val="none"/>
        </w:rPr>
        <w:t>methodology was chosen to be</w:t>
      </w:r>
      <w:r w:rsidR="00401789">
        <w:rPr>
          <w:rFonts w:asciiTheme="minorHAnsi" w:hAnsiTheme="minorHAnsi"/>
          <w14:ligatures w14:val="none"/>
        </w:rPr>
        <w:t xml:space="preserve">cause it </w:t>
      </w:r>
      <w:r w:rsidR="00401789" w:rsidRPr="00967E20">
        <w:rPr>
          <w:rFonts w:asciiTheme="minorHAnsi" w:hAnsiTheme="minorHAnsi"/>
          <w14:ligatures w14:val="none"/>
        </w:rPr>
        <w:t>offers good value for money whilst helping to maximise returns and ensure responses from a range of different age groups.</w:t>
      </w:r>
      <w:r w:rsidR="00401789">
        <w:rPr>
          <w:rFonts w:asciiTheme="minorHAnsi" w:hAnsiTheme="minorHAnsi"/>
          <w14:ligatures w14:val="none"/>
        </w:rPr>
        <w:t xml:space="preserve"> It also enables tenants to participate </w:t>
      </w:r>
      <w:r w:rsidR="00E70CDC">
        <w:rPr>
          <w:rFonts w:asciiTheme="minorHAnsi" w:hAnsiTheme="minorHAnsi"/>
          <w14:ligatures w14:val="none"/>
        </w:rPr>
        <w:t>via</w:t>
      </w:r>
      <w:r w:rsidR="00401789">
        <w:rPr>
          <w:rFonts w:asciiTheme="minorHAnsi" w:hAnsiTheme="minorHAnsi"/>
          <w14:ligatures w14:val="none"/>
        </w:rPr>
        <w:t xml:space="preserve"> a range of methods to suit their personal preferences and capabilities.</w:t>
      </w:r>
      <w:r w:rsidR="00401789" w:rsidRPr="00401789">
        <w:rPr>
          <w:rFonts w:asciiTheme="minorHAnsi" w:hAnsiTheme="minorHAnsi"/>
          <w14:ligatures w14:val="none"/>
        </w:rPr>
        <w:t xml:space="preserve"> </w:t>
      </w:r>
      <w:r w:rsidR="00401789">
        <w:rPr>
          <w:rFonts w:asciiTheme="minorHAnsi" w:hAnsiTheme="minorHAnsi"/>
          <w14:ligatures w14:val="none"/>
        </w:rPr>
        <w:t xml:space="preserve">It is also a suitable methodology for a phased approach as it </w:t>
      </w:r>
      <w:r w:rsidR="00401789" w:rsidRPr="00C97C89">
        <w:rPr>
          <w:rFonts w:asciiTheme="minorHAnsi" w:hAnsiTheme="minorHAnsi"/>
          <w14:ligatures w14:val="none"/>
        </w:rPr>
        <w:t>help</w:t>
      </w:r>
      <w:r w:rsidR="00401789">
        <w:rPr>
          <w:rFonts w:asciiTheme="minorHAnsi" w:hAnsiTheme="minorHAnsi"/>
          <w14:ligatures w14:val="none"/>
        </w:rPr>
        <w:t>s</w:t>
      </w:r>
      <w:r w:rsidR="00401789" w:rsidRPr="00C97C89">
        <w:rPr>
          <w:rFonts w:asciiTheme="minorHAnsi" w:hAnsiTheme="minorHAnsi"/>
          <w14:ligatures w14:val="none"/>
        </w:rPr>
        <w:t xml:space="preserve"> to minimise survey fatigue over the long-term</w:t>
      </w:r>
      <w:r w:rsidR="00401789">
        <w:rPr>
          <w:rFonts w:asciiTheme="minorHAnsi" w:hAnsiTheme="minorHAnsi"/>
          <w14:ligatures w14:val="none"/>
        </w:rPr>
        <w:t xml:space="preserve">. The choice of methodology was also to ensure that </w:t>
      </w:r>
      <w:r w:rsidR="00401789" w:rsidRPr="00C97C89">
        <w:rPr>
          <w:rFonts w:asciiTheme="minorHAnsi" w:hAnsiTheme="minorHAnsi"/>
          <w14:ligatures w14:val="none"/>
        </w:rPr>
        <w:t xml:space="preserve">that the survey was representative </w:t>
      </w:r>
      <w:r w:rsidR="00401789">
        <w:rPr>
          <w:rFonts w:asciiTheme="minorHAnsi" w:hAnsiTheme="minorHAnsi"/>
          <w14:ligatures w14:val="none"/>
        </w:rPr>
        <w:t>without the need for further weighting.</w:t>
      </w:r>
    </w:p>
    <w:p w14:paraId="7659AAB0" w14:textId="464C0808" w:rsidR="00927814" w:rsidRPr="00967E20" w:rsidRDefault="00927814" w:rsidP="00927814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967E20">
        <w:rPr>
          <w:rFonts w:asciiTheme="minorHAnsi" w:hAnsiTheme="minorHAnsi"/>
          <w14:ligatures w14:val="none"/>
        </w:rPr>
        <w:t>The survey was incentivised with a free prize draw of £100</w:t>
      </w:r>
      <w:r>
        <w:rPr>
          <w:rFonts w:asciiTheme="minorHAnsi" w:hAnsiTheme="minorHAnsi"/>
          <w14:ligatures w14:val="none"/>
        </w:rPr>
        <w:t xml:space="preserve"> </w:t>
      </w:r>
      <w:r w:rsidRPr="00967E20">
        <w:rPr>
          <w:rFonts w:asciiTheme="minorHAnsi" w:hAnsiTheme="minorHAnsi"/>
          <w14:ligatures w14:val="none"/>
        </w:rPr>
        <w:t>in shopping vouchers</w:t>
      </w:r>
      <w:r>
        <w:rPr>
          <w:rFonts w:asciiTheme="minorHAnsi" w:hAnsiTheme="minorHAnsi"/>
          <w14:ligatures w14:val="none"/>
        </w:rPr>
        <w:t xml:space="preserve"> for each wave.</w:t>
      </w:r>
    </w:p>
    <w:p w14:paraId="3800CB71" w14:textId="703D14D3" w:rsidR="00511F34" w:rsidRPr="00C97C89" w:rsidRDefault="00511F34" w:rsidP="005250F8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C97C89">
        <w:rPr>
          <w:rFonts w:asciiTheme="minorHAnsi" w:hAnsiTheme="minorHAnsi"/>
          <w:color w:val="4BAAD3"/>
          <w:sz w:val="32"/>
          <w:szCs w:val="32"/>
          <w14:ligatures w14:val="none"/>
        </w:rPr>
        <w:t>Population</w:t>
      </w:r>
    </w:p>
    <w:p w14:paraId="08631B03" w14:textId="3177E00A" w:rsidR="00C97C89" w:rsidRPr="00C97C89" w:rsidRDefault="00C97C89" w:rsidP="00C97C89">
      <w:pPr>
        <w:widowControl w:val="0"/>
        <w:rPr>
          <w:rFonts w:asciiTheme="minorHAnsi" w:hAnsiTheme="minorHAnsi"/>
          <w14:ligatures w14:val="none"/>
        </w:rPr>
      </w:pPr>
      <w:r w:rsidRPr="00C97C89">
        <w:rPr>
          <w:rFonts w:asciiTheme="minorHAnsi" w:hAnsiTheme="minorHAnsi"/>
          <w14:ligatures w14:val="none"/>
        </w:rPr>
        <w:t xml:space="preserve">The population for the TSM survey was all </w:t>
      </w:r>
      <w:r w:rsidR="004048E2">
        <w:rPr>
          <w:rFonts w:asciiTheme="minorHAnsi" w:hAnsiTheme="minorHAnsi"/>
          <w14:ligatures w14:val="none"/>
        </w:rPr>
        <w:t>5,</w:t>
      </w:r>
      <w:r w:rsidR="006C3C7A">
        <w:rPr>
          <w:rFonts w:asciiTheme="minorHAnsi" w:hAnsiTheme="minorHAnsi"/>
          <w14:ligatures w14:val="none"/>
        </w:rPr>
        <w:t>921</w:t>
      </w:r>
      <w:r w:rsidR="004048E2">
        <w:rPr>
          <w:rFonts w:asciiTheme="minorHAnsi" w:hAnsiTheme="minorHAnsi"/>
          <w14:ligatures w14:val="none"/>
        </w:rPr>
        <w:t xml:space="preserve"> Southway</w:t>
      </w:r>
      <w:r w:rsidRPr="00C97C89">
        <w:rPr>
          <w:rFonts w:asciiTheme="minorHAnsi" w:hAnsiTheme="minorHAnsi"/>
          <w14:ligatures w14:val="none"/>
        </w:rPr>
        <w:t xml:space="preserve"> LCRA households on </w:t>
      </w:r>
      <w:r w:rsidR="006C3C7A">
        <w:rPr>
          <w:rFonts w:asciiTheme="minorHAnsi" w:hAnsiTheme="minorHAnsi"/>
          <w14:ligatures w14:val="none"/>
        </w:rPr>
        <w:t>07</w:t>
      </w:r>
      <w:r w:rsidRPr="00C97C89">
        <w:rPr>
          <w:rFonts w:asciiTheme="minorHAnsi" w:hAnsiTheme="minorHAnsi"/>
          <w14:ligatures w14:val="none"/>
        </w:rPr>
        <w:t xml:space="preserve"> </w:t>
      </w:r>
      <w:r w:rsidR="004048E2">
        <w:rPr>
          <w:rFonts w:asciiTheme="minorHAnsi" w:hAnsiTheme="minorHAnsi"/>
          <w14:ligatures w14:val="none"/>
        </w:rPr>
        <w:t>J</w:t>
      </w:r>
      <w:r w:rsidR="006C3C7A">
        <w:rPr>
          <w:rFonts w:asciiTheme="minorHAnsi" w:hAnsiTheme="minorHAnsi"/>
          <w14:ligatures w14:val="none"/>
        </w:rPr>
        <w:t>une</w:t>
      </w:r>
      <w:r w:rsidRPr="00C97C89">
        <w:rPr>
          <w:rFonts w:asciiTheme="minorHAnsi" w:hAnsiTheme="minorHAnsi"/>
          <w14:ligatures w14:val="none"/>
        </w:rPr>
        <w:t xml:space="preserve"> 202</w:t>
      </w:r>
      <w:r w:rsidR="006C3C7A">
        <w:rPr>
          <w:rFonts w:asciiTheme="minorHAnsi" w:hAnsiTheme="minorHAnsi"/>
          <w14:ligatures w14:val="none"/>
        </w:rPr>
        <w:t>4</w:t>
      </w:r>
      <w:r w:rsidRPr="00C97C89">
        <w:rPr>
          <w:rFonts w:asciiTheme="minorHAnsi" w:hAnsiTheme="minorHAnsi"/>
          <w14:ligatures w14:val="none"/>
        </w:rPr>
        <w:t xml:space="preserve">. None were removed from the sample frame. </w:t>
      </w:r>
    </w:p>
    <w:p w14:paraId="02CE6EDB" w14:textId="6DDCEF93" w:rsidR="00511F34" w:rsidRPr="00C97C89" w:rsidRDefault="00511F34" w:rsidP="00BF6DA8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C97C89">
        <w:rPr>
          <w:rFonts w:asciiTheme="minorHAnsi" w:hAnsiTheme="minorHAnsi"/>
          <w:color w:val="4BAAD3"/>
          <w:sz w:val="32"/>
          <w:szCs w:val="32"/>
          <w14:ligatures w14:val="none"/>
        </w:rPr>
        <w:t>Representativeness</w:t>
      </w:r>
    </w:p>
    <w:p w14:paraId="6CDCEF66" w14:textId="62F8B4E5" w:rsidR="00C97C89" w:rsidRDefault="006C3C7A" w:rsidP="00C97C89">
      <w:pPr>
        <w:widowControl w:val="0"/>
        <w:spacing w:line="283" w:lineRule="auto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>For each survey quarter the last phase of fieldwork was t</w:t>
      </w:r>
      <w:r w:rsidR="00C97C89" w:rsidRPr="00C97C89">
        <w:rPr>
          <w:rFonts w:asciiTheme="minorHAnsi" w:hAnsiTheme="minorHAnsi"/>
          <w14:ligatures w14:val="none"/>
        </w:rPr>
        <w:t>he telephone interviews</w:t>
      </w:r>
      <w:r>
        <w:rPr>
          <w:rFonts w:asciiTheme="minorHAnsi" w:hAnsiTheme="minorHAnsi"/>
          <w14:ligatures w14:val="none"/>
        </w:rPr>
        <w:t>, which</w:t>
      </w:r>
      <w:r w:rsidR="00C97C89" w:rsidRPr="00C97C89">
        <w:rPr>
          <w:rFonts w:asciiTheme="minorHAnsi" w:hAnsiTheme="minorHAnsi"/>
          <w14:ligatures w14:val="none"/>
        </w:rPr>
        <w:t xml:space="preserve"> were completed to a quota sample</w:t>
      </w:r>
      <w:r>
        <w:rPr>
          <w:rFonts w:asciiTheme="minorHAnsi" w:hAnsiTheme="minorHAnsi"/>
          <w14:ligatures w14:val="none"/>
        </w:rPr>
        <w:t xml:space="preserve"> to ensure that quarter’s achieved sample was representative</w:t>
      </w:r>
      <w:r w:rsidR="00C97C89" w:rsidRPr="00C97C89">
        <w:rPr>
          <w:rFonts w:asciiTheme="minorHAnsi" w:hAnsiTheme="minorHAnsi"/>
          <w14:ligatures w14:val="none"/>
        </w:rPr>
        <w:t xml:space="preserve">. </w:t>
      </w:r>
      <w:r>
        <w:rPr>
          <w:rFonts w:asciiTheme="minorHAnsi" w:hAnsiTheme="minorHAnsi"/>
          <w14:ligatures w14:val="none"/>
        </w:rPr>
        <w:t xml:space="preserve">This ensured that the final combined TSM data is representative of the tenant population without further weighting. </w:t>
      </w:r>
      <w:r w:rsidR="00C97C89" w:rsidRPr="00C97C89">
        <w:rPr>
          <w:rFonts w:asciiTheme="minorHAnsi" w:hAnsiTheme="minorHAnsi"/>
          <w14:ligatures w14:val="none"/>
        </w:rPr>
        <w:t xml:space="preserve">The characteristics by which representativeness was determined were: </w:t>
      </w:r>
    </w:p>
    <w:p w14:paraId="6283A4C1" w14:textId="77777777" w:rsidR="00F733F2" w:rsidRPr="00C97C89" w:rsidRDefault="00F733F2" w:rsidP="00C97C89">
      <w:pPr>
        <w:widowControl w:val="0"/>
        <w:spacing w:line="283" w:lineRule="auto"/>
        <w:rPr>
          <w:rFonts w:asciiTheme="minorHAnsi" w:hAnsiTheme="minorHAnsi"/>
          <w14:ligatures w14:val="none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2642"/>
        <w:gridCol w:w="1158"/>
        <w:gridCol w:w="940"/>
      </w:tblGrid>
      <w:tr w:rsidR="00544E81" w:rsidRPr="00544E81" w14:paraId="01C935C8" w14:textId="77777777" w:rsidTr="00F733F2">
        <w:trPr>
          <w:trHeight w:val="540"/>
        </w:trPr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C8182ED" w14:textId="12E24F7A" w:rsidR="00544E81" w:rsidRPr="00731A22" w:rsidRDefault="00C97C89" w:rsidP="00544E81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>
              <w:rPr>
                <w14:ligatures w14:val="none"/>
              </w:rPr>
              <w:t> </w:t>
            </w:r>
            <w:r w:rsidR="00544E81" w:rsidRPr="00731A22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Stock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7F88959C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35E087DF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>Survey</w:t>
            </w:r>
          </w:p>
        </w:tc>
      </w:tr>
      <w:tr w:rsidR="00731A22" w:rsidRPr="00544E81" w14:paraId="6DDCE98F" w14:textId="77777777" w:rsidTr="00F733F2">
        <w:trPr>
          <w:trHeight w:val="300"/>
        </w:trPr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1F20DCE0" w14:textId="1D23FD0A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General needs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4AC63F17" w14:textId="43708381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92.3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326F2B4D" w14:textId="256C6226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90.7</w:t>
            </w:r>
          </w:p>
        </w:tc>
      </w:tr>
      <w:tr w:rsidR="00731A22" w:rsidRPr="00544E81" w14:paraId="3470310D" w14:textId="77777777" w:rsidTr="00F733F2">
        <w:trPr>
          <w:trHeight w:val="300"/>
        </w:trPr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4EF902D1" w14:textId="42B35A60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Age friendly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41EDED1C" w14:textId="7AB23EFA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4.9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5FAE1533" w14:textId="49FE0F2A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5.8</w:t>
            </w:r>
          </w:p>
        </w:tc>
      </w:tr>
      <w:tr w:rsidR="00731A22" w:rsidRPr="00544E81" w14:paraId="13834787" w14:textId="77777777" w:rsidTr="00F733F2">
        <w:trPr>
          <w:trHeight w:val="300"/>
        </w:trPr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4F168C4C" w14:textId="6E1EA9CE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With care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F1131E0" w14:textId="29BA2172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2.7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41B3384A" w14:textId="3298A36A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3.6</w:t>
            </w:r>
          </w:p>
        </w:tc>
      </w:tr>
    </w:tbl>
    <w:p w14:paraId="72D91F54" w14:textId="531ECD6A" w:rsidR="00C97C89" w:rsidRDefault="00C97C89" w:rsidP="00C97C89">
      <w:pPr>
        <w:widowControl w:val="0"/>
        <w:rPr>
          <w14:ligatures w14:val="none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2645"/>
        <w:gridCol w:w="1158"/>
        <w:gridCol w:w="937"/>
      </w:tblGrid>
      <w:tr w:rsidR="00544E81" w:rsidRPr="00544E81" w14:paraId="4061A879" w14:textId="77777777" w:rsidTr="006A75E7">
        <w:trPr>
          <w:trHeight w:val="54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6D6F8B9" w14:textId="60A0DD88" w:rsidR="00544E81" w:rsidRPr="00731A22" w:rsidRDefault="006C3C7A" w:rsidP="00544E81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Management a</w:t>
            </w:r>
            <w:r w:rsidR="006A75E7" w:rsidRPr="00731A22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rea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010B278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6B9B503A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>Survey</w:t>
            </w:r>
          </w:p>
        </w:tc>
      </w:tr>
      <w:tr w:rsidR="00731A22" w:rsidRPr="00544E81" w14:paraId="4EB58B73" w14:textId="77777777" w:rsidTr="00731A22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7D88F6E8" w14:textId="60DD268E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Central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0A751107" w14:textId="0F825ADB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35.4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481AFF00" w14:textId="3A80A744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34.2</w:t>
            </w:r>
          </w:p>
        </w:tc>
      </w:tr>
      <w:tr w:rsidR="00731A22" w:rsidRPr="00544E81" w14:paraId="229DC842" w14:textId="77777777" w:rsidTr="00731A22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25B39C90" w14:textId="2A56EAB4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East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7689F55C" w14:textId="4E08CFF5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32.6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2596BB57" w14:textId="749DAC9F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32.1</w:t>
            </w:r>
          </w:p>
        </w:tc>
      </w:tr>
      <w:tr w:rsidR="00731A22" w:rsidRPr="00544E81" w14:paraId="14A69196" w14:textId="77777777" w:rsidTr="00731A22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A1842AD" w14:textId="325F476E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West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FC2B141" w14:textId="0CB99940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28.6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5B16CC40" w14:textId="5FF4568E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28.0</w:t>
            </w:r>
          </w:p>
        </w:tc>
      </w:tr>
      <w:tr w:rsidR="00731A22" w:rsidRPr="00544E81" w14:paraId="6324399D" w14:textId="77777777" w:rsidTr="00731A22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52BF544" w14:textId="103ED61D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Other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126D2060" w14:textId="6C13F26E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3.4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7F7FC136" w14:textId="3BA97D19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5.6</w:t>
            </w:r>
          </w:p>
        </w:tc>
      </w:tr>
    </w:tbl>
    <w:p w14:paraId="0F399CE1" w14:textId="77777777" w:rsidR="00544E81" w:rsidRDefault="00544E81" w:rsidP="00C97C89">
      <w:pPr>
        <w:widowControl w:val="0"/>
        <w:rPr>
          <w14:ligatures w14:val="none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2642"/>
        <w:gridCol w:w="1158"/>
        <w:gridCol w:w="940"/>
      </w:tblGrid>
      <w:tr w:rsidR="00544E81" w:rsidRPr="00731A22" w14:paraId="52EBB6AB" w14:textId="77777777" w:rsidTr="006A75E7">
        <w:trPr>
          <w:trHeight w:val="54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3938EEB" w14:textId="77777777" w:rsidR="00544E81" w:rsidRPr="00731A22" w:rsidRDefault="00544E81" w:rsidP="00544E81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Property type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6EDE9261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6BA2783D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>Survey</w:t>
            </w:r>
          </w:p>
        </w:tc>
      </w:tr>
      <w:tr w:rsidR="00731A22" w:rsidRPr="00731A22" w14:paraId="4A10E6F1" w14:textId="77777777" w:rsidTr="00731A22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C689D94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Bungalow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04723480" w14:textId="08CC09C2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2.8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2C54BE2F" w14:textId="0C721DD3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2.8</w:t>
            </w:r>
          </w:p>
        </w:tc>
      </w:tr>
      <w:tr w:rsidR="00731A22" w:rsidRPr="00731A22" w14:paraId="499BA741" w14:textId="77777777" w:rsidTr="00731A22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5788B8A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Flat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7C8DD464" w14:textId="6F4B9A9C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66.2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681A076C" w14:textId="10EED5F6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65.1</w:t>
            </w:r>
          </w:p>
        </w:tc>
      </w:tr>
      <w:tr w:rsidR="00731A22" w:rsidRPr="00731A22" w14:paraId="45A6158B" w14:textId="77777777" w:rsidTr="00731A22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36C4D77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House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1CE4BACE" w14:textId="764E9192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31.0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0DDF2BF5" w14:textId="3592FB96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32.1</w:t>
            </w:r>
          </w:p>
        </w:tc>
      </w:tr>
    </w:tbl>
    <w:p w14:paraId="6AF63FAD" w14:textId="77777777" w:rsidR="00544E81" w:rsidRPr="00731A22" w:rsidRDefault="00544E81" w:rsidP="00C97C89">
      <w:pPr>
        <w:widowControl w:val="0"/>
        <w:rPr>
          <w:rFonts w:asciiTheme="minorHAnsi" w:hAnsiTheme="minorHAnsi"/>
          <w14:ligatures w14:val="none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2642"/>
        <w:gridCol w:w="1158"/>
        <w:gridCol w:w="940"/>
      </w:tblGrid>
      <w:tr w:rsidR="00544E81" w:rsidRPr="00544E81" w14:paraId="510557A7" w14:textId="77777777" w:rsidTr="006A75E7">
        <w:trPr>
          <w:trHeight w:val="54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37B1AE3" w14:textId="77777777" w:rsidR="00544E81" w:rsidRPr="00731A22" w:rsidRDefault="00544E81" w:rsidP="00544E81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Property size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04C358DA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55344343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>Survey</w:t>
            </w:r>
          </w:p>
        </w:tc>
      </w:tr>
      <w:tr w:rsidR="00731A22" w:rsidRPr="00544E81" w14:paraId="1B26E788" w14:textId="77777777" w:rsidTr="00731A22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5B8D70A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One bed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6F1E6A6E" w14:textId="4F030AC5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11.6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7CE5E8F5" w14:textId="1D768C74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12.1</w:t>
            </w:r>
          </w:p>
        </w:tc>
      </w:tr>
      <w:tr w:rsidR="00731A22" w:rsidRPr="00544E81" w14:paraId="49BB7391" w14:textId="77777777" w:rsidTr="00731A22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E8D0EDE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 xml:space="preserve">Two </w:t>
            </w:r>
            <w:proofErr w:type="gramStart"/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bed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448038E9" w14:textId="01DB5EE5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25.5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06140975" w14:textId="67F70864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25.8</w:t>
            </w:r>
          </w:p>
        </w:tc>
      </w:tr>
      <w:tr w:rsidR="00731A22" w:rsidRPr="00544E81" w14:paraId="45B70191" w14:textId="77777777" w:rsidTr="00731A22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74D6601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 xml:space="preserve">Three </w:t>
            </w:r>
            <w:proofErr w:type="gramStart"/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bed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F4F1685" w14:textId="0394FB5B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61.2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081FC436" w14:textId="0B09E4C2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60.4</w:t>
            </w:r>
          </w:p>
        </w:tc>
      </w:tr>
      <w:tr w:rsidR="00731A22" w:rsidRPr="00544E81" w14:paraId="3518FC78" w14:textId="77777777" w:rsidTr="00731A22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8C3E920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Four+ bed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ED3351C" w14:textId="7062578F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1.8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77A94DC2" w14:textId="1599A6B1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1.7</w:t>
            </w:r>
          </w:p>
        </w:tc>
      </w:tr>
    </w:tbl>
    <w:p w14:paraId="3C76B960" w14:textId="77777777" w:rsidR="00544E81" w:rsidRDefault="00544E81" w:rsidP="00C97C89">
      <w:pPr>
        <w:widowControl w:val="0"/>
        <w:rPr>
          <w14:ligatures w14:val="none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2643"/>
        <w:gridCol w:w="1158"/>
        <w:gridCol w:w="939"/>
      </w:tblGrid>
      <w:tr w:rsidR="006A75E7" w:rsidRPr="00544E81" w14:paraId="07598DE0" w14:textId="77777777" w:rsidTr="006A75E7">
        <w:trPr>
          <w:trHeight w:val="54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897E516" w14:textId="6B73BD1F" w:rsidR="006A75E7" w:rsidRPr="00731A22" w:rsidRDefault="006A75E7" w:rsidP="006A75E7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lastRenderedPageBreak/>
              <w:t>Tenancy length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63C2BD3" w14:textId="62CFB894" w:rsidR="006A75E7" w:rsidRPr="00731A22" w:rsidRDefault="006A75E7" w:rsidP="006A75E7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D6A0549" w14:textId="64D0CCB5" w:rsidR="006A75E7" w:rsidRPr="00731A22" w:rsidRDefault="006A75E7" w:rsidP="006A75E7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>Survey</w:t>
            </w:r>
          </w:p>
        </w:tc>
      </w:tr>
      <w:tr w:rsidR="00731A22" w:rsidRPr="00544E81" w14:paraId="3E66BA63" w14:textId="77777777" w:rsidTr="00731A22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1A48160" w14:textId="6D2AB75C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Under 1 year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6F03FFC9" w14:textId="710C0A52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5.1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0778BFE7" w14:textId="6294322E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7.1</w:t>
            </w:r>
          </w:p>
        </w:tc>
      </w:tr>
      <w:tr w:rsidR="00731A22" w:rsidRPr="00544E81" w14:paraId="2E2585AD" w14:textId="77777777" w:rsidTr="00731A22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6094E05" w14:textId="16C55ABF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1 - 2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E02D86E" w14:textId="50A3BA4B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10.0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3E35B9CB" w14:textId="6A55FAFB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10.5</w:t>
            </w:r>
          </w:p>
        </w:tc>
      </w:tr>
      <w:tr w:rsidR="00731A22" w:rsidRPr="00544E81" w14:paraId="63FF1FA4" w14:textId="77777777" w:rsidTr="00731A22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0860B05" w14:textId="01E362D5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3 - 5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6161C277" w14:textId="0077DBDF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10.7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7E6E2E9C" w14:textId="7F8A5B14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10.7</w:t>
            </w:r>
          </w:p>
        </w:tc>
      </w:tr>
      <w:tr w:rsidR="00731A22" w:rsidRPr="00544E81" w14:paraId="394C89BF" w14:textId="77777777" w:rsidTr="00731A22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6DB1EA" w14:textId="6DD1372A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6 - 10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044F47F6" w14:textId="11BFB5DD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18.1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708855B2" w14:textId="79D4FDAE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17.1</w:t>
            </w:r>
          </w:p>
        </w:tc>
      </w:tr>
      <w:tr w:rsidR="00731A22" w:rsidRPr="00544E81" w14:paraId="2CFA4F06" w14:textId="77777777" w:rsidTr="00731A22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0AFA3ED" w14:textId="55BA342D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11 - 20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D30A01A" w14:textId="4D3E4A74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24.9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3D7AD997" w14:textId="7B15004E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24.4</w:t>
            </w:r>
          </w:p>
        </w:tc>
      </w:tr>
      <w:tr w:rsidR="00731A22" w:rsidRPr="00544E81" w14:paraId="431A2DA5" w14:textId="77777777" w:rsidTr="00731A22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84D366F" w14:textId="5DB77266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21 years and over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vAlign w:val="center"/>
          </w:tcPr>
          <w:p w14:paraId="552E1631" w14:textId="4992A93B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31.2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DB9D3"/>
            <w:vAlign w:val="center"/>
          </w:tcPr>
          <w:p w14:paraId="641635C8" w14:textId="6FB9B987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30.2</w:t>
            </w:r>
          </w:p>
        </w:tc>
      </w:tr>
    </w:tbl>
    <w:p w14:paraId="2F1A36B0" w14:textId="77777777" w:rsidR="00544E81" w:rsidRDefault="00544E81" w:rsidP="00C97C89">
      <w:pPr>
        <w:widowControl w:val="0"/>
        <w:rPr>
          <w14:ligatures w14:val="none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2641"/>
        <w:gridCol w:w="1158"/>
        <w:gridCol w:w="941"/>
      </w:tblGrid>
      <w:tr w:rsidR="00544E81" w:rsidRPr="00544E81" w14:paraId="0B852103" w14:textId="77777777" w:rsidTr="006A75E7">
        <w:trPr>
          <w:trHeight w:val="540"/>
        </w:trPr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C692A3D" w14:textId="28018A77" w:rsidR="00544E81" w:rsidRPr="00731A22" w:rsidRDefault="006A75E7" w:rsidP="00544E81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Gender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9865DF9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52CFDE04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>Survey</w:t>
            </w:r>
          </w:p>
        </w:tc>
      </w:tr>
      <w:tr w:rsidR="00731A22" w:rsidRPr="00544E81" w14:paraId="16C1C8F0" w14:textId="77777777" w:rsidTr="00731A2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D50369A" w14:textId="3D933A33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594B627F" w14:textId="3AB0E00E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29.7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3C0E96F3" w14:textId="3F3BBE6C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30.7</w:t>
            </w:r>
          </w:p>
        </w:tc>
      </w:tr>
      <w:tr w:rsidR="00731A22" w:rsidRPr="00544E81" w14:paraId="278A69C5" w14:textId="77777777" w:rsidTr="00731A22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3465ECE" w14:textId="6E4065D9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5DAFC07A" w14:textId="6E68E6B2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70.3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3A77F8A3" w14:textId="7204FD03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69.3</w:t>
            </w:r>
          </w:p>
        </w:tc>
      </w:tr>
    </w:tbl>
    <w:p w14:paraId="2271FA6F" w14:textId="77777777" w:rsidR="00544E81" w:rsidRDefault="00544E81" w:rsidP="00C97C89">
      <w:pPr>
        <w:widowControl w:val="0"/>
        <w:rPr>
          <w14:ligatures w14:val="none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2639"/>
        <w:gridCol w:w="1158"/>
        <w:gridCol w:w="943"/>
      </w:tblGrid>
      <w:tr w:rsidR="00544E81" w:rsidRPr="00544E81" w14:paraId="319CD9E6" w14:textId="77777777" w:rsidTr="006C3C7A">
        <w:trPr>
          <w:trHeight w:val="54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54851B9" w14:textId="77777777" w:rsidR="00544E81" w:rsidRPr="00731A22" w:rsidRDefault="00544E81" w:rsidP="00544E81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Age group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6273F3FB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563D2DB" w14:textId="77777777" w:rsidR="00544E81" w:rsidRPr="00731A22" w:rsidRDefault="00544E81" w:rsidP="00544E81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>Survey</w:t>
            </w:r>
          </w:p>
        </w:tc>
      </w:tr>
      <w:tr w:rsidR="00731A22" w:rsidRPr="00544E81" w14:paraId="375FF08D" w14:textId="77777777" w:rsidTr="00731A22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9602B30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18 - 24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965BA17" w14:textId="7EF9A202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0.7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3EA0BC2D" w14:textId="1866C9E5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0.7</w:t>
            </w:r>
          </w:p>
        </w:tc>
      </w:tr>
      <w:tr w:rsidR="00731A22" w:rsidRPr="00544E81" w14:paraId="4E1D7983" w14:textId="77777777" w:rsidTr="00731A22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69C21C4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25 - 34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5EC86685" w14:textId="3BB58378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7.8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4911E225" w14:textId="3A5C10A3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7.0</w:t>
            </w:r>
          </w:p>
        </w:tc>
      </w:tr>
      <w:tr w:rsidR="00731A22" w:rsidRPr="00544E81" w14:paraId="133E6912" w14:textId="77777777" w:rsidTr="00731A22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BCB68C9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35 - 44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57FCAD3" w14:textId="28FE91F0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20.5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3294D865" w14:textId="78F70AC3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19.2</w:t>
            </w:r>
          </w:p>
        </w:tc>
      </w:tr>
      <w:tr w:rsidR="00731A22" w:rsidRPr="00544E81" w14:paraId="16137247" w14:textId="77777777" w:rsidTr="00731A22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C518ADD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45 - 54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3F492A62" w14:textId="086F5EBB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21.7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74EBD33B" w14:textId="3864DAF8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21.3</w:t>
            </w:r>
          </w:p>
        </w:tc>
      </w:tr>
      <w:tr w:rsidR="00731A22" w:rsidRPr="00544E81" w14:paraId="2D002E4C" w14:textId="77777777" w:rsidTr="00731A22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313BA61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55 - 64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6E1D1A3" w14:textId="7E42F02B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23.7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40342F1C" w14:textId="103126F3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24.0</w:t>
            </w:r>
          </w:p>
        </w:tc>
      </w:tr>
      <w:tr w:rsidR="00731A22" w:rsidRPr="00544E81" w14:paraId="5BF6544B" w14:textId="77777777" w:rsidTr="00731A22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AFCED60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65 - 74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542B7EEC" w14:textId="6E9931D0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15.5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23B1181A" w14:textId="48AFFD5C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17.9</w:t>
            </w:r>
          </w:p>
        </w:tc>
      </w:tr>
      <w:tr w:rsidR="00731A22" w:rsidRPr="00544E81" w14:paraId="2CC12EFA" w14:textId="77777777" w:rsidTr="00731A22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40C9997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75 - 84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426CEF40" w14:textId="046307AE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7.4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68234955" w14:textId="22979E65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8.4</w:t>
            </w:r>
          </w:p>
        </w:tc>
      </w:tr>
      <w:tr w:rsidR="00731A22" w:rsidRPr="00544E81" w14:paraId="169B2DC0" w14:textId="77777777" w:rsidTr="00731A22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A33F248" w14:textId="7777777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85+ years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05E2763F" w14:textId="7F75CB27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731A22">
              <w:rPr>
                <w:rFonts w:asciiTheme="minorHAnsi" w:hAnsiTheme="minorHAnsi" w:cs="Arial"/>
              </w:rPr>
              <w:t>2.5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5BDF0A4E" w14:textId="2DA458B7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731A22">
              <w:rPr>
                <w:rFonts w:asciiTheme="minorHAnsi" w:hAnsiTheme="minorHAnsi"/>
              </w:rPr>
              <w:t>1.5</w:t>
            </w:r>
          </w:p>
        </w:tc>
      </w:tr>
      <w:tr w:rsidR="00731A22" w:rsidRPr="00544E81" w14:paraId="4D381C38" w14:textId="77777777" w:rsidTr="00731A22">
        <w:trPr>
          <w:trHeight w:val="300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FB81B93" w14:textId="2B600B7D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No record</w:t>
            </w:r>
          </w:p>
        </w:tc>
        <w:tc>
          <w:tcPr>
            <w:tcW w:w="10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3506C2F9" w14:textId="49C934F1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0.1</w:t>
            </w:r>
          </w:p>
        </w:tc>
        <w:tc>
          <w:tcPr>
            <w:tcW w:w="9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5F72ABDD" w14:textId="14EC3E06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0.0</w:t>
            </w:r>
          </w:p>
        </w:tc>
      </w:tr>
    </w:tbl>
    <w:p w14:paraId="66F8CFE4" w14:textId="77777777" w:rsidR="00544E81" w:rsidRDefault="00544E81" w:rsidP="00C97C89">
      <w:pPr>
        <w:widowControl w:val="0"/>
        <w:rPr>
          <w14:ligatures w14:val="none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2645"/>
        <w:gridCol w:w="1158"/>
        <w:gridCol w:w="937"/>
      </w:tblGrid>
      <w:tr w:rsidR="006A75E7" w:rsidRPr="00731A22" w14:paraId="48B5A737" w14:textId="77777777" w:rsidTr="006A75E7">
        <w:trPr>
          <w:trHeight w:val="540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9250A2A" w14:textId="779520D3" w:rsidR="006A75E7" w:rsidRPr="00731A22" w:rsidRDefault="006A75E7" w:rsidP="00BF52D6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Ethnic background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7D03C12D" w14:textId="77777777" w:rsidR="006A75E7" w:rsidRPr="00731A22" w:rsidRDefault="006A75E7" w:rsidP="00BF52D6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416C5F9" w14:textId="77777777" w:rsidR="006A75E7" w:rsidRPr="00731A22" w:rsidRDefault="006A75E7" w:rsidP="00BF52D6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color w:val="FFFFFF"/>
                <w:kern w:val="0"/>
                <w14:ligatures w14:val="none"/>
                <w14:cntxtAlts w14:val="0"/>
              </w:rPr>
              <w:t>Survey</w:t>
            </w:r>
          </w:p>
        </w:tc>
      </w:tr>
      <w:tr w:rsidR="00731A22" w:rsidRPr="00731A22" w14:paraId="5A2F34B9" w14:textId="77777777" w:rsidTr="00731A22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7BDCC6F0" w14:textId="0E63093F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White British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5FC8DCD9" w14:textId="32DC0345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53.4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37CD4DD2" w14:textId="3D1A2491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56.0</w:t>
            </w:r>
          </w:p>
        </w:tc>
      </w:tr>
      <w:tr w:rsidR="00731A22" w:rsidRPr="00731A22" w14:paraId="16EF6063" w14:textId="77777777" w:rsidTr="00731A22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60068954" w14:textId="5DEA4F2D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White other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75CF3979" w14:textId="7CCE4B2B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4.4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29DCCE9F" w14:textId="2EF9B122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4.5</w:t>
            </w:r>
          </w:p>
        </w:tc>
      </w:tr>
      <w:tr w:rsidR="00731A22" w:rsidRPr="00731A22" w14:paraId="3CC92DDE" w14:textId="77777777" w:rsidTr="00731A22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78517966" w14:textId="07CD56EB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Mixed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68AB2A2D" w14:textId="11552344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3.7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097DDE63" w14:textId="3C0D32C1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3.4</w:t>
            </w:r>
          </w:p>
        </w:tc>
      </w:tr>
      <w:tr w:rsidR="00731A22" w:rsidRPr="00731A22" w14:paraId="6618D633" w14:textId="77777777" w:rsidTr="00731A22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0CF17671" w14:textId="7BA8E2C3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Asian or Asian British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65989E5" w14:textId="6D5914F5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7.7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540BDC8C" w14:textId="6160E1F0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8.7</w:t>
            </w:r>
          </w:p>
        </w:tc>
      </w:tr>
      <w:tr w:rsidR="00731A22" w:rsidRPr="00731A22" w14:paraId="164318BD" w14:textId="77777777" w:rsidTr="00731A22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61DE5F95" w14:textId="1E9A096C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Black or Black British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2B05B70A" w14:textId="643FFD3F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9.8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154BC14B" w14:textId="5CC8AD7F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8.9</w:t>
            </w:r>
          </w:p>
        </w:tc>
      </w:tr>
      <w:tr w:rsidR="00731A22" w:rsidRPr="00731A22" w14:paraId="01939D0E" w14:textId="77777777" w:rsidTr="00731A22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2718D0DF" w14:textId="385779CB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Other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7E11B60D" w14:textId="7DDE97B5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5.5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08821606" w14:textId="19B4BDE7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5.1</w:t>
            </w:r>
          </w:p>
        </w:tc>
      </w:tr>
      <w:tr w:rsidR="00731A22" w:rsidRPr="00731A22" w14:paraId="33CD859C" w14:textId="77777777" w:rsidTr="00731A22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16FCD065" w14:textId="7DBD826E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Prefer not to say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7BD36FE8" w14:textId="3C14E36A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9.7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79790BFB" w14:textId="45E5F573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7.5</w:t>
            </w:r>
          </w:p>
        </w:tc>
      </w:tr>
      <w:tr w:rsidR="00731A22" w:rsidRPr="00731A22" w14:paraId="4F4F205E" w14:textId="77777777" w:rsidTr="00731A22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6E8B7B06" w14:textId="33D18E27" w:rsidR="00731A22" w:rsidRPr="00731A22" w:rsidRDefault="00731A22" w:rsidP="00731A22">
            <w:pPr>
              <w:spacing w:after="0" w:line="240" w:lineRule="auto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  <w:t>Unknown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</w:tcPr>
          <w:p w14:paraId="77FB8EB6" w14:textId="2C6FDA84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 w:cs="Arial"/>
              </w:rPr>
              <w:t>5.8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</w:tcPr>
          <w:p w14:paraId="089ECDF0" w14:textId="22060EE7" w:rsidR="00731A22" w:rsidRPr="00731A22" w:rsidRDefault="00731A22" w:rsidP="00731A22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14:ligatures w14:val="none"/>
                <w14:cntxtAlts w14:val="0"/>
              </w:rPr>
            </w:pPr>
            <w:r w:rsidRPr="00731A22">
              <w:rPr>
                <w:rFonts w:asciiTheme="minorHAnsi" w:hAnsiTheme="minorHAnsi"/>
              </w:rPr>
              <w:t>5.9</w:t>
            </w:r>
          </w:p>
        </w:tc>
      </w:tr>
    </w:tbl>
    <w:p w14:paraId="069BB839" w14:textId="77777777" w:rsidR="00416541" w:rsidRPr="00731A22" w:rsidRDefault="00416541" w:rsidP="005250F8">
      <w:pPr>
        <w:widowControl w:val="0"/>
        <w:spacing w:line="283" w:lineRule="auto"/>
        <w:rPr>
          <w:rFonts w:asciiTheme="minorHAnsi" w:hAnsiTheme="minorHAnsi"/>
          <w14:ligatures w14:val="none"/>
        </w:rPr>
      </w:pPr>
    </w:p>
    <w:sectPr w:rsidR="00416541" w:rsidRPr="00731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34"/>
    <w:rsid w:val="000D4BA7"/>
    <w:rsid w:val="0010376F"/>
    <w:rsid w:val="001468CE"/>
    <w:rsid w:val="001A5071"/>
    <w:rsid w:val="001D7B14"/>
    <w:rsid w:val="001E3ECD"/>
    <w:rsid w:val="001E649F"/>
    <w:rsid w:val="001F6BC5"/>
    <w:rsid w:val="001F6DF7"/>
    <w:rsid w:val="002872B3"/>
    <w:rsid w:val="00296C3B"/>
    <w:rsid w:val="003741ED"/>
    <w:rsid w:val="00401789"/>
    <w:rsid w:val="004048E2"/>
    <w:rsid w:val="00416541"/>
    <w:rsid w:val="004B0FE7"/>
    <w:rsid w:val="00511F34"/>
    <w:rsid w:val="005250F8"/>
    <w:rsid w:val="00544E81"/>
    <w:rsid w:val="00643DA4"/>
    <w:rsid w:val="00696639"/>
    <w:rsid w:val="006A75E7"/>
    <w:rsid w:val="006C3C7A"/>
    <w:rsid w:val="00731A22"/>
    <w:rsid w:val="00861966"/>
    <w:rsid w:val="00906593"/>
    <w:rsid w:val="00927814"/>
    <w:rsid w:val="00936230"/>
    <w:rsid w:val="00961E73"/>
    <w:rsid w:val="00A86235"/>
    <w:rsid w:val="00AD359F"/>
    <w:rsid w:val="00B32A9D"/>
    <w:rsid w:val="00BC73F6"/>
    <w:rsid w:val="00BF6DA8"/>
    <w:rsid w:val="00C97C89"/>
    <w:rsid w:val="00CC4DED"/>
    <w:rsid w:val="00D91C69"/>
    <w:rsid w:val="00E70CDC"/>
    <w:rsid w:val="00F733F2"/>
    <w:rsid w:val="00F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BE5E"/>
  <w15:chartTrackingRefBased/>
  <w15:docId w15:val="{EDE4E01A-F6A5-46A9-90F1-67F31F5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5E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BCC287A969E4990BF94E19460CA18" ma:contentTypeVersion="4" ma:contentTypeDescription="Create a new document." ma:contentTypeScope="" ma:versionID="ec310592feab77f1d47a8e3090ad65a3">
  <xsd:schema xmlns:xsd="http://www.w3.org/2001/XMLSchema" xmlns:xs="http://www.w3.org/2001/XMLSchema" xmlns:p="http://schemas.microsoft.com/office/2006/metadata/properties" xmlns:ns2="aa792835-a426-415a-a97f-2bbebf2a603d" targetNamespace="http://schemas.microsoft.com/office/2006/metadata/properties" ma:root="true" ma:fieldsID="9f925bb3c0be794ea6c43d7ea18fa5f9" ns2:_="">
    <xsd:import namespace="aa792835-a426-415a-a97f-2bbebf2a6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92835-a426-415a-a97f-2bbebf2a6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13BDC-582E-4FF9-BA63-937F1950B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220CA-D833-454C-9ED2-C04EB3B0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92835-a426-415a-a97f-2bbebf2a6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4EE21-0588-4285-831D-89FBD11624F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aa792835-a426-415a-a97f-2bbebf2a603d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Payne</dc:creator>
  <cp:keywords/>
  <dc:description/>
  <cp:lastModifiedBy>Michael Byrne</cp:lastModifiedBy>
  <cp:revision>2</cp:revision>
  <dcterms:created xsi:type="dcterms:W3CDTF">2025-04-30T20:50:00Z</dcterms:created>
  <dcterms:modified xsi:type="dcterms:W3CDTF">2025-04-30T20:50:00Z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0x010100011BCC287A969E4990BF94E19460CA18</vt:lpwstr>
  </property>
</Properties>
</file>